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EE3270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757D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1623/2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E3270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Акціонерна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EE3270">
        <w:rPr>
          <w:color w:val="000000"/>
          <w:sz w:val="28"/>
          <w:szCs w:val="28"/>
          <w:lang w:val="uk-UA"/>
        </w:rPr>
        <w:t>00:04:005:0379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E3270">
        <w:rPr>
          <w:color w:val="000000"/>
          <w:sz w:val="28"/>
          <w:szCs w:val="28"/>
          <w:lang w:val="uk-UA"/>
        </w:rPr>
        <w:t>площею 0,0073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E3270">
        <w:rPr>
          <w:color w:val="000000"/>
          <w:sz w:val="28"/>
          <w:szCs w:val="28"/>
          <w:lang w:val="uk-UA"/>
        </w:rPr>
        <w:t>. Зарванці, вул. Акціонерна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EE3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0520688900:04:005:0379, площею 0,0073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EE327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Акціонерна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685D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769E7"/>
    <w:rsid w:val="00685D22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757D2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270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D1F4A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2024-05-27T06:53:00Z</cp:lastPrinted>
  <dcterms:created xsi:type="dcterms:W3CDTF">2022-10-05T10:00:00Z</dcterms:created>
  <dcterms:modified xsi:type="dcterms:W3CDTF">2024-05-27T06:54:00Z</dcterms:modified>
</cp:coreProperties>
</file>